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9811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Style w:val="10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404040"/>
          <w:spacing w:val="0"/>
          <w:sz w:val="44"/>
          <w:szCs w:val="44"/>
        </w:rPr>
      </w:pPr>
      <w:r>
        <w:rPr>
          <w:rStyle w:val="10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404040"/>
          <w:spacing w:val="0"/>
          <w:sz w:val="44"/>
          <w:szCs w:val="44"/>
          <w:lang w:val="en-US" w:eastAsia="zh-CN"/>
        </w:rPr>
        <w:t xml:space="preserve"> </w:t>
      </w:r>
      <w:r>
        <w:rPr>
          <w:rStyle w:val="10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404040"/>
          <w:spacing w:val="0"/>
          <w:sz w:val="44"/>
          <w:szCs w:val="44"/>
        </w:rPr>
        <w:t>高压氧治疗神经重症疾病的精准化</w:t>
      </w:r>
      <w:r>
        <w:rPr>
          <w:rStyle w:val="10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404040"/>
          <w:spacing w:val="0"/>
          <w:sz w:val="44"/>
          <w:szCs w:val="44"/>
          <w:lang w:val="en-US" w:eastAsia="zh-CN"/>
        </w:rPr>
        <w:t xml:space="preserve"> </w:t>
      </w:r>
    </w:p>
    <w:p w14:paraId="58470F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Style w:val="10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404040"/>
          <w:spacing w:val="0"/>
          <w:sz w:val="44"/>
          <w:szCs w:val="44"/>
        </w:rPr>
      </w:pPr>
      <w:r>
        <w:rPr>
          <w:rStyle w:val="10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404040"/>
          <w:spacing w:val="0"/>
          <w:sz w:val="44"/>
          <w:szCs w:val="44"/>
          <w:lang w:val="en-US" w:eastAsia="zh-CN"/>
        </w:rPr>
        <w:t xml:space="preserve">         </w:t>
      </w:r>
      <w:r>
        <w:rPr>
          <w:rStyle w:val="10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404040"/>
          <w:spacing w:val="0"/>
          <w:sz w:val="44"/>
          <w:szCs w:val="44"/>
        </w:rPr>
        <w:t>策略基于循证医学的多模态机制</w:t>
      </w:r>
      <w:r>
        <w:rPr>
          <w:rStyle w:val="10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404040"/>
          <w:spacing w:val="0"/>
          <w:sz w:val="44"/>
          <w:szCs w:val="44"/>
          <w:lang w:val="en-US" w:eastAsia="zh-CN"/>
        </w:rPr>
        <w:t xml:space="preserve">          </w:t>
      </w:r>
    </w:p>
    <w:p w14:paraId="3C89A1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2640" w:firstLineChars="600"/>
        <w:jc w:val="both"/>
        <w:textAlignment w:val="auto"/>
        <w:rPr>
          <w:rStyle w:val="10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404040"/>
          <w:spacing w:val="0"/>
          <w:sz w:val="44"/>
          <w:szCs w:val="44"/>
        </w:rPr>
      </w:pPr>
      <w:r>
        <w:rPr>
          <w:rStyle w:val="10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404040"/>
          <w:spacing w:val="0"/>
          <w:sz w:val="44"/>
          <w:szCs w:val="44"/>
        </w:rPr>
        <w:t>解析与临床实践指南</w:t>
      </w:r>
    </w:p>
    <w:p w14:paraId="5D94287E">
      <w:pPr>
        <w:spacing w:line="480" w:lineRule="auto"/>
        <w:ind w:firstLine="2560" w:firstLineChars="800"/>
        <w:jc w:val="both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 xml:space="preserve">福州大学附属省立医院   龚峥 </w:t>
      </w:r>
    </w:p>
    <w:p w14:paraId="51B3D656">
      <w:pPr>
        <w:spacing w:line="480" w:lineRule="auto"/>
        <w:jc w:val="center"/>
        <w:rPr>
          <w:rFonts w:hint="eastAsia" w:ascii="微软雅黑 Light" w:hAnsi="微软雅黑 Light" w:eastAsia="微软雅黑 Light" w:cs="微软雅黑 Light"/>
          <w:b/>
          <w:bCs/>
          <w:color w:val="000000"/>
          <w:kern w:val="0"/>
          <w:sz w:val="21"/>
          <w:szCs w:val="21"/>
          <w:lang w:val="en-US" w:eastAsia="zh-CN"/>
        </w:rPr>
      </w:pPr>
    </w:p>
    <w:p w14:paraId="4553FA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一、引言</w:t>
      </w:r>
    </w:p>
    <w:p w14:paraId="71A16B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高压氧治疗（Hyperbaric Oxygen Therapy, HBOT）作为一种重要的辅助治疗手段，在神经重症领域尤其是急性脑卒中的治疗中具有显著的价值。通过提高环境氧分压，HBOT能够改善组织氧代谢、调控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炎症反应以及促进神经修复。然而，在基层医疗场景中，由于对适应证把握不严、操作流程不规范等问题，导致其疗效受限甚至出现并发症。本文基于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相关指南共识</w:t>
      </w:r>
      <w:r>
        <w:rPr>
          <w:rFonts w:hint="eastAsia" w:ascii="仿宋_GB2312" w:hAnsi="仿宋_GB2312" w:eastAsia="仿宋_GB2312" w:cs="仿宋_GB2312"/>
          <w:sz w:val="32"/>
          <w:szCs w:val="32"/>
        </w:rPr>
        <w:t>及国际前沿研究，系统解析HBOT在神经重症领域的病理生理学机制、精准化治疗方案及风险管理策略，为基层医生提供兼具专业性与实用性的临床指南。</w:t>
      </w:r>
    </w:p>
    <w:p w14:paraId="7C84BB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二、病理生理学机制：从宏观到分子的多层次解析</w:t>
      </w:r>
    </w:p>
    <w:p w14:paraId="0385F0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（一）氧代谢与微循环重建</w:t>
      </w:r>
    </w:p>
    <w:p w14:paraId="5B2624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氧输送动力学</w:t>
      </w:r>
    </w:p>
    <w:p w14:paraId="0E9294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HBOT通过提高动脉血氧分压（PaO₂）至2000 mmHg以上，使物理溶解氧量增加15 - 20倍。这种高氧环境能够突破缺血半暗带的弥散极限，挽救濒死的神经元。例如，在急性缺血性脑卒中（AIS）中，脑组织对缺氧极为敏感，缺血后数分钟内即可出现神经元功能障碍，而HBOT能够迅速提高局部氧浓度，恢复神经元的正常代谢。从分子层面来看，高氧环境下，血红蛋白的氧饱和度接近100%，但溶解氧的增加才是关键。溶解氧能够直接扩散到组织细胞中，参与细胞的能量代谢过程，为细胞的生存和功能恢复提供必要的能量支持。</w:t>
      </w:r>
    </w:p>
    <w:p w14:paraId="39F50B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微循环改善</w:t>
      </w:r>
    </w:p>
    <w:p w14:paraId="67A6C9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高氧环境下，血管内皮生长因子（VEGF）的表达被上调，同时抑制血管通透性。VEGF是一种重要的血管生成因子，能够促进新生血管的形成，改善缺血区域的血液供应。此外，通过一氧化氮（NO）依赖性途径扩张微血管，增加缺血区灌注。NO是一种内源性血管舒张因子，能够松弛血管平滑肌，增加血管直径，从而改善微循环。</w:t>
      </w:r>
    </w:p>
    <w:p w14:paraId="29B70C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在急性脑卒中患者中，微循环障碍是导致组织损伤的重要因素之一。HBOT通过改善微循环，能够有效减少脑组织的缺血再灌注损伤，促进神经功能的恢复。</w:t>
      </w:r>
    </w:p>
    <w:p w14:paraId="760BA1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（二）神经保护与修复机制</w:t>
      </w:r>
    </w:p>
    <w:p w14:paraId="0A4B83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线粒体功能调控</w:t>
      </w:r>
    </w:p>
    <w:p w14:paraId="0A304D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HBOT能够激活过氧化物酶体增殖物激活受体γ共激活因子1α（PGC-1α），促进线粒体生物合成，提升ATP生成效率。线粒体是细胞的能量工厂，其功能状态直接影响细胞的能量代谢。在缺血缺氧状态下，线粒体功能受损，ATP生成减少，细胞能量供应不足，导致细胞功能障碍甚至死亡。动物实验显示，2.4 ATA（绝对大气压）的HBOT可以使ATP水平提升40%。这种提升不仅能够为神经细胞的存活和功能恢复提供能量支持，还能够促进神经细胞的修复和再生。</w:t>
      </w:r>
    </w:p>
    <w:p w14:paraId="11FECA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神经可塑性增强</w:t>
      </w:r>
    </w:p>
    <w:p w14:paraId="5958E9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HBOT通过上调脑源性神经营养因子（BDNF）及突触素（Synaptophysin），促进突触重塑。BDNF是一种重要的神经营养因子，能够促进神经细胞的生长、分化和存活，对神经系统的发育和功能维持具有重要作用。突触素是一种突触相关蛋白，其表达水平与突触的形成和功能密切相关。临床研究显示，经过10次HBOT治疗后，患者血清中BDNF浓度升高35%。这种变化表明，HBOT能够有效促进神经可塑性，改善神经功能，对于急性脑卒中患者的康复具有重要意义。</w:t>
      </w:r>
    </w:p>
    <w:p w14:paraId="087C94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（三）抗炎与抗氧化平衡</w:t>
      </w:r>
    </w:p>
    <w:p w14:paraId="1326E0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炎症调控</w:t>
      </w:r>
    </w:p>
    <w:p w14:paraId="5CA0E0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HBOT能够抑制核因子κB（NF-κB）信号通路，减少肿瘤坏死因子α（TNF-α）及白细胞介素6（IL-6）的释放。NF-κB是一种重要的转录因子，能够调控多种炎症因子的表达。TNF-α和IL-6是两种主要的炎症介质，在炎症反应中发挥重要作用。Meta分析显示，HBOT可以使C反应蛋白（CRP）水平下降28%。CRP是一种急性时相反应蛋白，其水平的变化能够反映炎症反应的强度。通过抑制炎症反应，HBOT能够减轻脑组织的炎症损伤，促进神经功能的恢复。</w:t>
      </w:r>
    </w:p>
    <w:p w14:paraId="529851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氧化应激防御</w:t>
      </w:r>
    </w:p>
    <w:p w14:paraId="67BE64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HBOT能够激活核因子E2相关因子2（Nrf2）-抗氧化反应元件（ARE）通路，提升超氧化物歧化酶（SOD）及谷胱甘肽过氧化物酶（GPx）的活性。Nrf2是一种重要的转录因子，能够调控多种抗氧化酶的表达。SOD和GPx是两种主要的抗氧化酶，能够清除体内的自由基，减轻氧化应激损伤。在急性脑卒中患者中，氧化应激是导致神经细胞损伤的重要因素之一。HBOT通过增强抗氧化防御系统，能够有效减轻氧化应激损伤，保护神经细胞。</w:t>
      </w:r>
    </w:p>
    <w:p w14:paraId="7DB47D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三、适应证与禁忌证：基于循证医学的精准分层</w:t>
      </w:r>
    </w:p>
    <w:p w14:paraId="0CA213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（一）适应证分级（2025年国际分类标准）</w:t>
      </w:r>
    </w:p>
    <w:p w14:paraId="4D0D40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Ⅰ类推荐（强证据）</w:t>
      </w:r>
    </w:p>
    <w:p w14:paraId="6D550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急性缺血性脑卒中（发病≤6小时，NIHSS≥6分）：在急性缺血性脑卒中患者中，早期进行HBOT能够有效改善神经功能，减少脑组织损伤。NIHSS（美国国立卫生研究院卒中量表）是一种常用的卒中评估工具，能够对患者的神经功能缺损程度进行量化评估。NIHSS评分≥6分提示患者病情较重，需要积极的治疗干预。</w:t>
      </w:r>
    </w:p>
    <w:p w14:paraId="019A6A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氧化碳中毒性脑病（碳氧血红蛋白≥25%）：一氧化碳中毒是一种常见的中毒性疾病，其主要机制是一氧化碳与血红蛋白结合，形成碳氧血红蛋白，导致组织缺氧。HBOT能够迅速提高氧分压，加速碳氧血红蛋白的解离，恢复正常的氧合功能。</w:t>
      </w:r>
    </w:p>
    <w:p w14:paraId="44A728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重型颅脑损伤（GCS≤8分，颅内压≥20 mmHg持续24小时）：重型颅脑损伤患者通常病情危重，颅内压升高是导致患者死亡的重要原因之一。HBOT能够通过改善脑组织的氧代谢，减轻脑水肿，降低颅内压。GCS（格拉斯哥昏迷量表）是一种常用的颅脑损伤评估工具，GCS≤8分提示患者病情严重，需要积极的治疗干预。</w:t>
      </w:r>
    </w:p>
    <w:p w14:paraId="4DB08C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Ⅱa类推荐（中等证据）</w:t>
      </w:r>
    </w:p>
    <w:p w14:paraId="7FC8B7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脊髓损伤急性期（ASIA分级A/B，发病≤72小时）：脊髓损伤是一种严重的神经系统损伤，导致患者肢体瘫痪和感觉障碍。HBOT能够通过改善脊髓组织的氧代谢，促进神经细胞的修复和再生。ASIA（美国脊髓损伤协会）分级是脊髓损伤的常用分类方法，A/B级提示患者损伤较重，需要积极的治疗干预。</w:t>
      </w:r>
    </w:p>
    <w:p w14:paraId="45A00D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缺氧性脑病（心脏骤停复苏后，格拉斯哥-匹兹堡CPC评分≥3）：缺氧性脑病是心脏骤停后常见的并发症，导致患者神经功能障碍。HBOT能够通过改善脑组织的氧代谢，减轻脑水肿，促进神经功能的恢复。CPC评分是一种常用的缺氧性脑病评估工具，CPC评分≥3提示患者病情较重，需要积极的治疗干预。</w:t>
      </w:r>
    </w:p>
    <w:p w14:paraId="7D5E41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（二）禁忌证的风险分层管理</w:t>
      </w:r>
    </w:p>
    <w:p w14:paraId="6BFFD6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绝对禁忌证</w:t>
      </w:r>
    </w:p>
    <w:p w14:paraId="078FDF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未控制的癫痫（发作频率≥1次/周）：癫痫是一种常见的神经系统疾病，发作时患者会出现意识丧失、肢体抽搐等症状。未控制的癫痫患者在HBOT过程中可能会出现癫痫发作加重的情况，因此属于绝对禁忌证。</w:t>
      </w:r>
    </w:p>
    <w:p w14:paraId="3505B5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活动性颅内出血（CT显示血肿体积≥30 mL）：颅内出血是急性脑卒中的一种类型，活动性颅内出血患者在HBOT过程中可能会出现血肿扩大，加重病情，因此属于绝对禁忌证。</w:t>
      </w:r>
    </w:p>
    <w:p w14:paraId="029657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未处理的气胸或肺大疱（胸部HRCT确诊）：气胸或肺大疱患者在HBOT过程中可能会出现气胸加重或肺大疱破裂的情况，导致严重的呼吸系统并发症，因此属于绝对禁忌证。</w:t>
      </w:r>
    </w:p>
    <w:p w14:paraId="6E8EBE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相对禁忌证的动态评估</w:t>
      </w:r>
    </w:p>
    <w:p w14:paraId="3E7EF7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慢性阻塞性肺疾病（COPD）患者需行肺功能测试（FEV1/FVC&lt;70%时慎用）：COPD患者通常存在肺功能障碍，HBOT可能会加重其呼吸系统负担。因此，在进行HBOT前需要进行肺功能测试，评估患者的肺功能状态。如果FEV1/FVC&lt;70%，则需要谨慎使用HBOT。</w:t>
      </w:r>
    </w:p>
    <w:p w14:paraId="0A5306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幽闭恐惧症患者可尝试药物预处理（如劳拉西泮0.5 mg口服）：幽闭恐惧症患者在进入高压氧舱时可能会出现恐惧、焦虑等情绪反应，影响治疗效果。因此，可以尝试药物预处理，减轻患者的恐惧情绪，使其能够耐受HBOT。</w:t>
      </w:r>
    </w:p>
    <w:p w14:paraId="7924FB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四、诊断与评估：多模态整合策略</w:t>
      </w:r>
    </w:p>
    <w:p w14:paraId="53C34C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（一）临床评估工具</w:t>
      </w:r>
    </w:p>
    <w:p w14:paraId="0629E6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神经功能评分</w:t>
      </w:r>
    </w:p>
    <w:p w14:paraId="06B331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格拉斯哥昏迷量表（GCS）联合FOUR评分：GCS是一种常用的颅脑损伤评估工具，能够对患者的意识状态进行量化评估。FOUR评分是一种补充的神经功能评估工具，能够对患者的脑干功能进行评估。联合使用GCS和FOUR评分能够更全面地评估患者的神经功能状态，预测颅脑损伤的预后。研究表明，GCS联合FOUR评分预测颅脑损伤预后的AUC（曲线下面积）为0.89。</w:t>
      </w:r>
    </w:p>
    <w:p w14:paraId="70742E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美国国立卫生研究院卒中量表（NIHSS）：NIHSS是一种常用的卒中评估工具，能够对患者的神经功能缺损程度进行量化评估。NIHSS评分越高，提示患者的病情越重，需要积极的治疗干预。</w:t>
      </w:r>
    </w:p>
    <w:p w14:paraId="1A521E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影像学评估</w:t>
      </w:r>
    </w:p>
    <w:p w14:paraId="55CEAD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CT灌注成像（CTP）：CTP是一种先进的影像学技术，能够对脑组织的血流灌注情况进行评估。通过CTP可以界定缺血半暗带（CBF&lt;30%区域），为临床治疗提供重要的参考依据。</w:t>
      </w:r>
    </w:p>
    <w:p w14:paraId="79F545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磁共振扩散张量成像（DTI）：DTI是一种磁共振成像技术，能够对脑组织的白质纤维束进行评估。通过DTI可以评估白质纤维束的完整性，FA值&lt;0.2提示预后不良。</w:t>
      </w:r>
    </w:p>
    <w:p w14:paraId="69686B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（二）生物标志物监测</w:t>
      </w:r>
    </w:p>
    <w:p w14:paraId="11472E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神经元损伤标志物</w:t>
      </w:r>
    </w:p>
    <w:p w14:paraId="093BD3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血清神经特异性烯醇化酶（NSE）：NSE是一种神经元特异性酶，其水平的变化能够反映神经元的损伤程度。当NSE&gt;35 μg/L时，提示神经元损伤较重，需要积极的治疗干预。</w:t>
      </w:r>
    </w:p>
    <w:p w14:paraId="33EC14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胶质纤维酸性蛋白（GFAP）：GFAP是一种胶质细胞特异性蛋白，其水平的变化能够反映胶质细胞的损伤程度。当GFAP&gt;0.5 ng/mL时，提示胶质细胞损伤较重，需要积极的治疗干预。</w:t>
      </w:r>
    </w:p>
    <w:p w14:paraId="52B559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氧代谢指标</w:t>
      </w:r>
    </w:p>
    <w:p w14:paraId="10D639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颈静脉球血氧饱和度（SjvO₂）：SjvO₂是反映脑组织氧代谢状态的重要指标。当SjvO₂&lt;50%或&gt;75%时，提示氧供需失衡，需要调整氧治疗方案。</w:t>
      </w:r>
    </w:p>
    <w:p w14:paraId="64E6ED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五、治疗流程：个体化方案的循证构建</w:t>
      </w:r>
    </w:p>
    <w:p w14:paraId="2064F1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（一）压力-时间参数的精准调控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4EFBF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3" w:type="dxa"/>
            <w:vAlign w:val="center"/>
          </w:tcPr>
          <w:p w14:paraId="184B4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60607"/>
                <w:spacing w:val="6"/>
                <w:kern w:val="0"/>
                <w:sz w:val="32"/>
                <w:szCs w:val="32"/>
                <w:lang w:val="en-US" w:eastAsia="zh-CN" w:bidi="ar"/>
              </w:rPr>
              <w:t>疾病类型</w:t>
            </w:r>
          </w:p>
        </w:tc>
        <w:tc>
          <w:tcPr>
            <w:tcW w:w="1703" w:type="dxa"/>
            <w:vAlign w:val="center"/>
          </w:tcPr>
          <w:p w14:paraId="0B84C2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60607"/>
                <w:spacing w:val="6"/>
                <w:kern w:val="0"/>
                <w:sz w:val="32"/>
                <w:szCs w:val="32"/>
                <w:lang w:val="en-US" w:eastAsia="zh-CN" w:bidi="ar"/>
              </w:rPr>
              <w:t>压力（ATA）</w:t>
            </w:r>
          </w:p>
        </w:tc>
        <w:tc>
          <w:tcPr>
            <w:tcW w:w="1704" w:type="dxa"/>
            <w:vAlign w:val="center"/>
          </w:tcPr>
          <w:p w14:paraId="761D8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60607"/>
                <w:spacing w:val="6"/>
                <w:kern w:val="0"/>
                <w:sz w:val="32"/>
                <w:szCs w:val="32"/>
                <w:lang w:val="en-US" w:eastAsia="zh-CN" w:bidi="ar"/>
              </w:rPr>
              <w:t>单次时长（分钟）</w:t>
            </w:r>
          </w:p>
        </w:tc>
        <w:tc>
          <w:tcPr>
            <w:tcW w:w="1704" w:type="dxa"/>
            <w:vAlign w:val="center"/>
          </w:tcPr>
          <w:p w14:paraId="2D6FAC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60607"/>
                <w:spacing w:val="6"/>
                <w:kern w:val="0"/>
                <w:sz w:val="32"/>
                <w:szCs w:val="32"/>
                <w:lang w:val="en-US" w:eastAsia="zh-CN" w:bidi="ar"/>
              </w:rPr>
              <w:t>疗程（次）</w:t>
            </w:r>
          </w:p>
        </w:tc>
        <w:tc>
          <w:tcPr>
            <w:tcW w:w="1704" w:type="dxa"/>
            <w:vAlign w:val="center"/>
          </w:tcPr>
          <w:p w14:paraId="6D90B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60607"/>
                <w:spacing w:val="6"/>
                <w:kern w:val="0"/>
                <w:sz w:val="32"/>
                <w:szCs w:val="32"/>
                <w:lang w:val="en-US" w:eastAsia="zh-CN" w:bidi="ar"/>
              </w:rPr>
              <w:t>证据来源</w:t>
            </w:r>
          </w:p>
        </w:tc>
      </w:tr>
      <w:tr w14:paraId="5F7CC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Align w:val="center"/>
          </w:tcPr>
          <w:p w14:paraId="7268C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60607"/>
                <w:spacing w:val="3"/>
                <w:kern w:val="0"/>
                <w:sz w:val="32"/>
                <w:szCs w:val="32"/>
                <w:lang w:val="en-US" w:eastAsia="zh-CN" w:bidi="ar"/>
              </w:rPr>
              <w:t>急性缺血性脑卒中</w:t>
            </w:r>
          </w:p>
        </w:tc>
        <w:tc>
          <w:tcPr>
            <w:tcW w:w="1703" w:type="dxa"/>
            <w:vAlign w:val="center"/>
          </w:tcPr>
          <w:p w14:paraId="6E00A6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60607"/>
                <w:spacing w:val="3"/>
                <w:kern w:val="0"/>
                <w:sz w:val="32"/>
                <w:szCs w:val="32"/>
                <w:lang w:val="en-US" w:eastAsia="zh-CN" w:bidi="ar"/>
              </w:rPr>
              <w:t>2.4 - 2.8</w:t>
            </w:r>
          </w:p>
        </w:tc>
        <w:tc>
          <w:tcPr>
            <w:tcW w:w="1704" w:type="dxa"/>
            <w:vAlign w:val="center"/>
          </w:tcPr>
          <w:p w14:paraId="1A9B65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60607"/>
                <w:spacing w:val="3"/>
                <w:kern w:val="0"/>
                <w:sz w:val="32"/>
                <w:szCs w:val="32"/>
                <w:lang w:val="en-US" w:eastAsia="zh-CN" w:bidi="ar"/>
              </w:rPr>
              <w:t>90</w:t>
            </w:r>
          </w:p>
        </w:tc>
        <w:tc>
          <w:tcPr>
            <w:tcW w:w="1704" w:type="dxa"/>
            <w:vAlign w:val="center"/>
          </w:tcPr>
          <w:p w14:paraId="49CFB3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60607"/>
                <w:spacing w:val="3"/>
                <w:kern w:val="0"/>
                <w:sz w:val="32"/>
                <w:szCs w:val="32"/>
                <w:lang w:val="en-US" w:eastAsia="zh-CN" w:bidi="ar"/>
              </w:rPr>
              <w:t>10 - 15</w:t>
            </w:r>
          </w:p>
        </w:tc>
        <w:tc>
          <w:tcPr>
            <w:tcW w:w="1704" w:type="dxa"/>
            <w:vAlign w:val="center"/>
          </w:tcPr>
          <w:p w14:paraId="6D5C3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60607"/>
                <w:spacing w:val="3"/>
                <w:kern w:val="0"/>
                <w:sz w:val="32"/>
                <w:szCs w:val="32"/>
                <w:lang w:val="en-US" w:eastAsia="zh-CN" w:bidi="ar"/>
              </w:rPr>
              <w:t>2024年NEJM RCT研究</w:t>
            </w:r>
          </w:p>
        </w:tc>
      </w:tr>
      <w:tr w14:paraId="22E43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Align w:val="center"/>
          </w:tcPr>
          <w:p w14:paraId="7B700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60607"/>
                <w:spacing w:val="3"/>
                <w:kern w:val="0"/>
                <w:sz w:val="32"/>
                <w:szCs w:val="32"/>
                <w:lang w:val="en-US" w:eastAsia="zh-CN" w:bidi="ar"/>
              </w:rPr>
              <w:t>重型颅脑损伤</w:t>
            </w:r>
          </w:p>
        </w:tc>
        <w:tc>
          <w:tcPr>
            <w:tcW w:w="1703" w:type="dxa"/>
            <w:vAlign w:val="center"/>
          </w:tcPr>
          <w:p w14:paraId="26A1E6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60607"/>
                <w:spacing w:val="3"/>
                <w:kern w:val="0"/>
                <w:sz w:val="32"/>
                <w:szCs w:val="32"/>
                <w:lang w:val="en-US" w:eastAsia="zh-CN" w:bidi="ar"/>
              </w:rPr>
              <w:t>2.0 - 2.5</w:t>
            </w:r>
          </w:p>
        </w:tc>
        <w:tc>
          <w:tcPr>
            <w:tcW w:w="1704" w:type="dxa"/>
            <w:vAlign w:val="center"/>
          </w:tcPr>
          <w:p w14:paraId="40260A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60607"/>
                <w:spacing w:val="3"/>
                <w:kern w:val="0"/>
                <w:sz w:val="32"/>
                <w:szCs w:val="32"/>
                <w:lang w:val="en-US" w:eastAsia="zh-CN" w:bidi="ar"/>
              </w:rPr>
              <w:t>120</w:t>
            </w:r>
          </w:p>
        </w:tc>
        <w:tc>
          <w:tcPr>
            <w:tcW w:w="1704" w:type="dxa"/>
            <w:vAlign w:val="center"/>
          </w:tcPr>
          <w:p w14:paraId="2BBFC2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60607"/>
                <w:spacing w:val="3"/>
                <w:kern w:val="0"/>
                <w:sz w:val="32"/>
                <w:szCs w:val="32"/>
                <w:lang w:val="en-US" w:eastAsia="zh-CN" w:bidi="ar"/>
              </w:rPr>
              <w:t>20</w:t>
            </w:r>
          </w:p>
        </w:tc>
        <w:tc>
          <w:tcPr>
            <w:tcW w:w="1704" w:type="dxa"/>
            <w:vAlign w:val="center"/>
          </w:tcPr>
          <w:p w14:paraId="74128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60607"/>
                <w:spacing w:val="3"/>
                <w:kern w:val="0"/>
                <w:sz w:val="32"/>
                <w:szCs w:val="32"/>
                <w:lang w:val="en-US" w:eastAsia="zh-CN" w:bidi="ar"/>
              </w:rPr>
              <w:t>中国专家共识（2025）</w:t>
            </w:r>
          </w:p>
        </w:tc>
      </w:tr>
      <w:tr w14:paraId="3ECA4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Align w:val="center"/>
          </w:tcPr>
          <w:p w14:paraId="61D5DF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60607"/>
                <w:spacing w:val="3"/>
                <w:kern w:val="0"/>
                <w:sz w:val="32"/>
                <w:szCs w:val="32"/>
                <w:lang w:val="en-US" w:eastAsia="zh-CN" w:bidi="ar"/>
              </w:rPr>
              <w:t>脊髓损伤急性期</w:t>
            </w:r>
          </w:p>
        </w:tc>
        <w:tc>
          <w:tcPr>
            <w:tcW w:w="1703" w:type="dxa"/>
            <w:vAlign w:val="center"/>
          </w:tcPr>
          <w:p w14:paraId="4ED8B8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60607"/>
                <w:spacing w:val="3"/>
                <w:kern w:val="0"/>
                <w:sz w:val="32"/>
                <w:szCs w:val="32"/>
                <w:lang w:val="en-US" w:eastAsia="zh-CN" w:bidi="ar"/>
              </w:rPr>
              <w:t>2.0</w:t>
            </w:r>
          </w:p>
        </w:tc>
        <w:tc>
          <w:tcPr>
            <w:tcW w:w="1704" w:type="dxa"/>
            <w:vAlign w:val="center"/>
          </w:tcPr>
          <w:p w14:paraId="1AB469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60607"/>
                <w:spacing w:val="3"/>
                <w:kern w:val="0"/>
                <w:sz w:val="32"/>
                <w:szCs w:val="32"/>
                <w:lang w:val="en-US" w:eastAsia="zh-CN" w:bidi="ar"/>
              </w:rPr>
              <w:t>60</w:t>
            </w:r>
          </w:p>
        </w:tc>
        <w:tc>
          <w:tcPr>
            <w:tcW w:w="1704" w:type="dxa"/>
            <w:vAlign w:val="center"/>
          </w:tcPr>
          <w:p w14:paraId="1431AD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60607"/>
                <w:spacing w:val="3"/>
                <w:kern w:val="0"/>
                <w:sz w:val="32"/>
                <w:szCs w:val="32"/>
                <w:lang w:val="en-US" w:eastAsia="zh-CN" w:bidi="ar"/>
              </w:rPr>
              <w:t>10</w:t>
            </w:r>
          </w:p>
        </w:tc>
        <w:tc>
          <w:tcPr>
            <w:tcW w:w="1704" w:type="dxa"/>
            <w:vAlign w:val="center"/>
          </w:tcPr>
          <w:p w14:paraId="1B970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leftChars="0" w:right="0" w:right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60607"/>
                <w:spacing w:val="3"/>
                <w:kern w:val="0"/>
                <w:sz w:val="32"/>
                <w:szCs w:val="32"/>
                <w:lang w:val="en-US" w:eastAsia="zh-CN" w:bidi="ar"/>
              </w:rPr>
              <w:t>Cochrane综述（2023）</w:t>
            </w:r>
          </w:p>
        </w:tc>
      </w:tr>
    </w:tbl>
    <w:p w14:paraId="1C3D7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C12C8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（二）联合治疗策略</w:t>
      </w:r>
    </w:p>
    <w:p w14:paraId="2D5792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HBOT+亚低温治疗</w:t>
      </w:r>
    </w:p>
    <w:p w14:paraId="7D6510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机制：亚低温治疗能够通过降低脑组织的代谢率，减少氧需求，减轻脑水肿。HBOT能够通过提高氧分压，改善脑组织的氧代谢。两者联合使用能够发挥协同作用，降低脑氧代谢率（CMRO₂）15%，减少再灌注损伤。</w:t>
      </w:r>
    </w:p>
    <w:p w14:paraId="18E999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临床数据：研究表明，联合治疗能够使死亡率下降22%。</w:t>
      </w:r>
    </w:p>
    <w:p w14:paraId="2C6EFA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HBOT+神经干细胞移植</w:t>
      </w:r>
    </w:p>
    <w:p w14:paraId="00B0E1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机制：神经干细胞移植能够通过分化为神经细胞，修复受损的神经组织。HBOT能够通过改善局部氧代谢，促进神经干细胞的存活和分化。两者联合使用能够发挥协同作用，提高神经功能评分改善率。</w:t>
      </w:r>
    </w:p>
    <w:p w14:paraId="00CA70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动物实验：动物实验显示，联合治疗可使神经功能评分改善率提高40%。</w:t>
      </w:r>
    </w:p>
    <w:p w14:paraId="20DB16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六、并发症管理：从预警到干预的闭环体系</w:t>
      </w:r>
    </w:p>
    <w:p w14:paraId="20CC02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（一）氧中毒的分级处理</w:t>
      </w:r>
    </w:p>
    <w:p w14:paraId="4F91B2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轻度（Ⅰ级）</w:t>
      </w:r>
    </w:p>
    <w:p w14:paraId="17DA60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症状：视野狭窄、眩晕</w:t>
      </w:r>
    </w:p>
    <w:p w14:paraId="6C6B87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处理方法：减压至1.5 ATA，静脉注射维生素E 400 IU</w:t>
      </w:r>
    </w:p>
    <w:p w14:paraId="43ABBA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重度（Ⅱ级）</w:t>
      </w:r>
    </w:p>
    <w:p w14:paraId="02C45D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症状：癫痫发作</w:t>
      </w:r>
    </w:p>
    <w:p w14:paraId="66544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处理方法：立即终止治疗，地西泮10 mg静推，转入ICU监护</w:t>
      </w:r>
    </w:p>
    <w:p w14:paraId="7981B2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（二）气压伤的解剖学分类</w:t>
      </w:r>
    </w:p>
    <w:p w14:paraId="5DD905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中耳气压伤</w:t>
      </w:r>
    </w:p>
    <w:p w14:paraId="74AF03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症状：耳痛、耳鸣</w:t>
      </w:r>
    </w:p>
    <w:p w14:paraId="348CB7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处理方法：Valsalva动作失败后，进行鼓膜穿刺术（成功率&gt;95%）</w:t>
      </w:r>
    </w:p>
    <w:p w14:paraId="6F2C11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肺气压伤</w:t>
      </w:r>
    </w:p>
    <w:p w14:paraId="26B468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症状：突发胸痛、咯血</w:t>
      </w:r>
    </w:p>
    <w:p w14:paraId="10ACF2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处理方法：高分辨率CT确诊后，进行胸腔闭式引流</w:t>
      </w:r>
    </w:p>
    <w:p w14:paraId="61C447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七、典型案例与决策树分析</w:t>
      </w:r>
    </w:p>
    <w:p w14:paraId="2C0080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（一）案例1：基底动脉尖综合征合并多器官功能障碍</w:t>
      </w:r>
    </w:p>
    <w:p w14:paraId="1DE6B7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病史：男性，58岁，突发意识丧失，MRI显示脑干梗死，合并急性肾损伤（肌酐3.2 mg/dL）。</w:t>
      </w:r>
    </w:p>
    <w:p w14:paraId="230BE8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决策树：</w:t>
      </w:r>
    </w:p>
    <w:p w14:paraId="0771CD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Step 1：排除绝对禁忌证（无活动性出血）→启动HBOT（2.5 ATA×90分钟）。</w:t>
      </w:r>
    </w:p>
    <w:p w14:paraId="17C767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Step 2：同步CVVH治疗（避免容量过负荷）→监测颅内压/脑氧供需平衡。</w:t>
      </w:r>
    </w:p>
    <w:p w14:paraId="3D225B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结局：10次治疗后NIHSS从18分降至9分，透析频率减少50%。</w:t>
      </w:r>
    </w:p>
    <w:p w14:paraId="359D2A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（二）案例2：创伤性颈髓损伤伴呼吸衰竭</w:t>
      </w:r>
    </w:p>
    <w:p w14:paraId="46145E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难点：C4水平完全性损伤（ASIA A），需机械通气支持。</w:t>
      </w:r>
    </w:p>
    <w:p w14:paraId="75B917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创新方案：</w:t>
      </w:r>
    </w:p>
    <w:p w14:paraId="1AAA5C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ECMO氧合支持：在FiO₂ 100%的条件下实施HBOT（2.0 ATA×60分钟）。</w:t>
      </w:r>
    </w:p>
    <w:p w14:paraId="55E162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实时监测呼气末二氧化碳（ETCO₂）：预防高碳酸血症。</w:t>
      </w:r>
    </w:p>
    <w:p w14:paraId="23D636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证据支持：2025年《Critical Care Medicine》报道类似案例存活率提升30%。</w:t>
      </w:r>
    </w:p>
    <w:p w14:paraId="52A398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八、前沿争议与未来方向</w:t>
      </w:r>
    </w:p>
    <w:p w14:paraId="37E78A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（一）争议焦点</w:t>
      </w:r>
    </w:p>
    <w:p w14:paraId="1BDCB9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HBOT在脑出血超急性期（&lt;6小时）的应用风险-获益比：SOS-HBOT试验中期分析显示再出血率5.3% vs 对照组1.8%。这一结果引发了对HBOT在脑出血超急性期应用的争议，需要进一步的临床研究来明确其风险和获益。</w:t>
      </w:r>
    </w:p>
    <w:p w14:paraId="4FDC21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（二）技术革新</w:t>
      </w:r>
    </w:p>
    <w:p w14:paraId="181DA5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智能氧舱集成颅内压无创监测</w:t>
      </w:r>
    </w:p>
    <w:p w14:paraId="5EEF45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技术原理：基于视神经鞘直径超声测量技术，智能氧舱能够实时监测患者的颅内压变化。这种无创监测技术能够为临床医生提供重要的参考依据，及时调整治疗方案。</w:t>
      </w:r>
    </w:p>
    <w:p w14:paraId="5C1F36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临床意义：通过无创监测颅内压，能够减少有创监测带来的风险，提高治疗的安全性和有效性。</w:t>
      </w:r>
    </w:p>
    <w:p w14:paraId="55059D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纳米氧载体（如全氟碳化合物）</w:t>
      </w:r>
    </w:p>
    <w:p w14:paraId="3246D9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技术原理：纳米氧载体能够增强血脑屏障的穿透性，提高氧在脑组织中的分布和利用效率。全氟碳化合物是一种常用的纳米氧载体，具有良好的生物相容性和氧载体性能。</w:t>
      </w:r>
    </w:p>
    <w:p w14:paraId="201C5E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临床意义：通过使用纳米氧载体，能够进一步提高HBOT的治疗效果，促进神经功能的恢复。</w:t>
      </w:r>
    </w:p>
    <w:p w14:paraId="739DDC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九、总结</w:t>
      </w:r>
    </w:p>
    <w:p w14:paraId="38F6AF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高压氧治疗（HBOT）在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神经重症疾病</w:t>
      </w:r>
      <w:r>
        <w:rPr>
          <w:rFonts w:hint="eastAsia" w:ascii="仿宋_GB2312" w:hAnsi="仿宋_GB2312" w:eastAsia="仿宋_GB2312" w:cs="仿宋_GB2312"/>
          <w:sz w:val="32"/>
          <w:szCs w:val="32"/>
        </w:rPr>
        <w:t>的治疗中具有重要的价值。通过改善氧代谢、调控炎症反应以及促进神经修复，HBOT能够显著改善患者的神经功能，提高生存率。然而，在实际应用中，需要严格把握适应证和禁忌证，规范操作流程，以确保治疗的安全性和有效性。未来，随着技术的不断进步和临床研究的深入，HBOT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神经重症疾病</w:t>
      </w:r>
      <w:r>
        <w:rPr>
          <w:rFonts w:hint="eastAsia" w:ascii="仿宋_GB2312" w:hAnsi="仿宋_GB2312" w:eastAsia="仿宋_GB2312" w:cs="仿宋_GB2312"/>
          <w:sz w:val="32"/>
          <w:szCs w:val="32"/>
        </w:rPr>
        <w:t>治疗中的应用前景将更加广阔。</w:t>
      </w:r>
    </w:p>
    <w:p w14:paraId="531C5E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4B4CD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BC8BD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247FCA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37E0E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7A10A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D6DC80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686C3E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2AF116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BB8A54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833290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0669F0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7B0F50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49866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06A5C9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4BEAF9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B96A03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91E82A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11BB08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附单选题</w:t>
      </w:r>
    </w:p>
    <w:p w14:paraId="4562C86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高压氧治疗（HBOT）的核心机制是：</w:t>
      </w:r>
    </w:p>
    <w:p w14:paraId="22ED52D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提高氧分压，改善组织氧代谢</w:t>
      </w:r>
    </w:p>
    <w:p w14:paraId="533459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增加血容量，改善微循环</w:t>
      </w:r>
    </w:p>
    <w:p w14:paraId="094506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抑制炎症反应，减轻脑水肿</w:t>
      </w:r>
    </w:p>
    <w:p w14:paraId="203139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促进神经细胞再生，修复受损组织</w:t>
      </w:r>
    </w:p>
    <w:p w14:paraId="777A92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在急性缺血性脑卒中患者中，HBOT的推荐压力范围是：</w:t>
      </w:r>
    </w:p>
    <w:p w14:paraId="6ABFBC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1.5 - 2.0 ATA</w:t>
      </w:r>
    </w:p>
    <w:p w14:paraId="5AD260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2.4 - 2.8 ATA</w:t>
      </w:r>
    </w:p>
    <w:p w14:paraId="6DD271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2.0 - 2.5 ATA</w:t>
      </w:r>
    </w:p>
    <w:p w14:paraId="0BFD04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3.0 - 3.5 ATA</w:t>
      </w:r>
    </w:p>
    <w:p w14:paraId="5EA123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HBOT在重型颅脑损伤中的应用，其疗程通常为：</w:t>
      </w:r>
    </w:p>
    <w:p w14:paraId="282130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5 - 10次</w:t>
      </w:r>
    </w:p>
    <w:p w14:paraId="6BAD79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10 - 15次</w:t>
      </w:r>
    </w:p>
    <w:p w14:paraId="6D403C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20次</w:t>
      </w:r>
    </w:p>
    <w:p w14:paraId="7FF22B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30次</w:t>
      </w:r>
    </w:p>
    <w:p w14:paraId="75491F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以下哪项是HBOT的绝对禁忌证？</w:t>
      </w:r>
    </w:p>
    <w:p w14:paraId="61A2DA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慢性阻塞性肺疾病（COPD）</w:t>
      </w:r>
    </w:p>
    <w:p w14:paraId="608742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未控制的癫痫</w:t>
      </w:r>
    </w:p>
    <w:p w14:paraId="69D60B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幽闭恐惧症</w:t>
      </w:r>
    </w:p>
    <w:p w14:paraId="02F6BA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高血压</w:t>
      </w:r>
    </w:p>
    <w:p w14:paraId="1F3B90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在HBOT过程中，如果患者出现氧中毒症状，应采取的措施是：</w:t>
      </w:r>
    </w:p>
    <w:p w14:paraId="185156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继续治疗，观察症状变化</w:t>
      </w:r>
    </w:p>
    <w:p w14:paraId="5A5AF9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立即终止治疗，给予对症处理</w:t>
      </w:r>
    </w:p>
    <w:p w14:paraId="0A9C5E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调整氧浓度，继续治疗</w:t>
      </w:r>
    </w:p>
    <w:p w14:paraId="48CD04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进行心理疏导，缓解患者紧张情绪</w:t>
      </w:r>
    </w:p>
    <w:p w14:paraId="0731E7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HBOT联合亚低温治疗的主要机制是：</w:t>
      </w:r>
    </w:p>
    <w:p w14:paraId="5F3CE9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提高氧代谢率，促进神经修复</w:t>
      </w:r>
    </w:p>
    <w:p w14:paraId="1EDFD7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降低脑组织代谢率，减少氧需求</w:t>
      </w:r>
    </w:p>
    <w:p w14:paraId="77C596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增强免疫功能，预防感染</w:t>
      </w:r>
    </w:p>
    <w:p w14:paraId="158B8E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改善微循环，增加脑血流量</w:t>
      </w:r>
    </w:p>
    <w:p w14:paraId="6C237B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在急性缺血性脑卒中患者中，HBOT的单次治疗时长通常为：</w:t>
      </w:r>
    </w:p>
    <w:p w14:paraId="384136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30分钟</w:t>
      </w:r>
    </w:p>
    <w:p w14:paraId="14B925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60分钟</w:t>
      </w:r>
    </w:p>
    <w:p w14:paraId="694100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90分钟</w:t>
      </w:r>
    </w:p>
    <w:p w14:paraId="5AE4EE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120分钟</w:t>
      </w:r>
    </w:p>
    <w:p w14:paraId="3DB4A4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以下哪项是HBOT在脊髓损伤急性期的应用推荐？</w:t>
      </w:r>
    </w:p>
    <w:p w14:paraId="291E69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发病≤24小时，ASIA分级A/B</w:t>
      </w:r>
    </w:p>
    <w:p w14:paraId="5B5F66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发病≤72小时，ASIA分级A/B</w:t>
      </w:r>
    </w:p>
    <w:p w14:paraId="4D5004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发病≤48小时，ASIA分级C/D</w:t>
      </w:r>
    </w:p>
    <w:p w14:paraId="561E3F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发病≤72小时，ASIA分级C/D</w:t>
      </w:r>
    </w:p>
    <w:p w14:paraId="7AC4A0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在HBOT过程中，如果患者出现中耳气压伤，应采取的措施是：</w:t>
      </w:r>
    </w:p>
    <w:p w14:paraId="1A7038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继续加压，观察症状变化</w:t>
      </w:r>
    </w:p>
    <w:p w14:paraId="1CA8B3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立即减压，进行鼓膜穿刺术</w:t>
      </w:r>
    </w:p>
    <w:p w14:paraId="14EAB1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调整加压速度，继续治疗</w:t>
      </w:r>
    </w:p>
    <w:p w14:paraId="0C365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给予止痛药，缓解耳痛</w:t>
      </w:r>
    </w:p>
    <w:p w14:paraId="35B6D0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以下哪项是HBOT在缺氧性脑病中的应用推荐？</w:t>
      </w:r>
    </w:p>
    <w:p w14:paraId="38EB63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心脏骤停复苏后，CPC评分≥2</w:t>
      </w:r>
    </w:p>
    <w:p w14:paraId="3E2A65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心脏骤停复苏后，CPC评分≥3</w:t>
      </w:r>
    </w:p>
    <w:p w14:paraId="0C929A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心脏骤停复苏后，CPC评分≥4</w:t>
      </w:r>
    </w:p>
    <w:p w14:paraId="486B4B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心脏骤停复苏后，CPC评分≥5</w:t>
      </w:r>
    </w:p>
    <w:p w14:paraId="1ADEDA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9A359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7B306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E8319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814" w:right="158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96448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BD7915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BD7915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CC1616"/>
    <w:multiLevelType w:val="singleLevel"/>
    <w:tmpl w:val="8DCC1616"/>
    <w:lvl w:ilvl="0" w:tentative="0">
      <w:start w:val="1"/>
      <w:numFmt w:val="chineseCounting"/>
      <w:suff w:val="space"/>
      <w:lvlText w:val="第%1讲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3B59DF"/>
    <w:rsid w:val="123D32AA"/>
    <w:rsid w:val="1AB412F7"/>
    <w:rsid w:val="1BFD7027"/>
    <w:rsid w:val="1E072487"/>
    <w:rsid w:val="2EAA356F"/>
    <w:rsid w:val="37AF056B"/>
    <w:rsid w:val="3BC57E26"/>
    <w:rsid w:val="4742632D"/>
    <w:rsid w:val="4A137481"/>
    <w:rsid w:val="4BBA394F"/>
    <w:rsid w:val="593B59DF"/>
    <w:rsid w:val="5F441D8B"/>
    <w:rsid w:val="64A27E2A"/>
    <w:rsid w:val="6C48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5244</Words>
  <Characters>6000</Characters>
  <Lines>0</Lines>
  <Paragraphs>0</Paragraphs>
  <TotalTime>19</TotalTime>
  <ScaleCrop>false</ScaleCrop>
  <LinksUpToDate>false</LinksUpToDate>
  <CharactersWithSpaces>6110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2025-02-12T08:36:00Z</dcterms:created>
  <dc:creator>龚峥</dc:creator>
  <cp:lastModifiedBy>lenovo</cp:lastModifiedBy>
  <dcterms:modified xsi:type="dcterms:W3CDTF">2025-04-21T08:47:31Z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813892B5BCA5486D82B3BC9A36EC42DE_13</vt:lpwstr>
  </property>
  <property fmtid="{D5CDD505-2E9C-101B-9397-08002B2CF9AE}" pid="4" name="KSOTemplateDocerSaveRecord">
    <vt:lpwstr>eyJoZGlkIjoiMDAxYmE2ZWJmM2RkM2I4YjQwM2FjMjkzN2EyMTE1MGUifQ==</vt:lpwstr>
  </property>
</Properties>
</file>